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4D" w:rsidRDefault="00444F4D" w:rsidP="00444F4D">
      <w:pPr>
        <w:rPr>
          <w:b/>
        </w:rPr>
      </w:pPr>
      <w:r w:rsidRPr="00E3191B">
        <w:rPr>
          <w:b/>
        </w:rPr>
        <w:t>Learning Centres Assignment</w:t>
      </w:r>
    </w:p>
    <w:p w:rsidR="00444F4D" w:rsidRPr="00E3191B" w:rsidRDefault="00444F4D" w:rsidP="00444F4D">
      <w:pPr>
        <w:jc w:val="center"/>
        <w:rPr>
          <w:b/>
        </w:rPr>
      </w:pPr>
      <w:r>
        <w:rPr>
          <w:b/>
        </w:rPr>
        <w:t>Math 412</w:t>
      </w:r>
    </w:p>
    <w:p w:rsidR="00444F4D" w:rsidRDefault="00444F4D" w:rsidP="00444F4D"/>
    <w:p w:rsidR="00444F4D" w:rsidRPr="005C61F2" w:rsidRDefault="00444F4D" w:rsidP="00444F4D">
      <w:pPr>
        <w:numPr>
          <w:ilvl w:val="0"/>
          <w:numId w:val="1"/>
        </w:numPr>
        <w:rPr>
          <w:b/>
        </w:rPr>
      </w:pPr>
      <w:r>
        <w:t>You will be randomly assigned to a group of five and each group will be rando</w:t>
      </w:r>
      <w:r w:rsidR="001F2907">
        <w:t>mly assigned a grade from P to 6</w:t>
      </w:r>
      <w:r>
        <w:t>.</w:t>
      </w:r>
    </w:p>
    <w:p w:rsidR="00444F4D" w:rsidRPr="005C61F2" w:rsidRDefault="00444F4D" w:rsidP="00444F4D">
      <w:pPr>
        <w:numPr>
          <w:ilvl w:val="0"/>
          <w:numId w:val="1"/>
        </w:numPr>
        <w:rPr>
          <w:b/>
        </w:rPr>
      </w:pPr>
      <w:r>
        <w:t>Your group will choose a unit from your assigned grade level for which to develop the learning centres. It is preferred that you choose an aspect of Numeracy (Number &amp; Operation), Patterns and Algebra, or Geometry. Your centres should focus on the key concepts from the unit.</w:t>
      </w:r>
    </w:p>
    <w:p w:rsidR="00444F4D" w:rsidRPr="00554C32" w:rsidRDefault="00444F4D" w:rsidP="00444F4D">
      <w:pPr>
        <w:numPr>
          <w:ilvl w:val="0"/>
          <w:numId w:val="1"/>
        </w:numPr>
        <w:rPr>
          <w:b/>
        </w:rPr>
      </w:pPr>
      <w:r>
        <w:t>Each group member is responsible for developing two learning centres however you should plan together so that there is good cohesion and variety among the centres. You will also work on a two-page write-up collaboratively.</w:t>
      </w:r>
    </w:p>
    <w:p w:rsidR="00444F4D" w:rsidRPr="00554C32" w:rsidRDefault="00444F4D" w:rsidP="00444F4D">
      <w:pPr>
        <w:numPr>
          <w:ilvl w:val="0"/>
          <w:numId w:val="1"/>
        </w:numPr>
        <w:rPr>
          <w:b/>
        </w:rPr>
      </w:pPr>
      <w:r>
        <w:t>The two-page write-up should include</w:t>
      </w:r>
    </w:p>
    <w:p w:rsidR="00444F4D" w:rsidRPr="00554C32" w:rsidRDefault="00444F4D" w:rsidP="00444F4D">
      <w:pPr>
        <w:numPr>
          <w:ilvl w:val="1"/>
          <w:numId w:val="1"/>
        </w:numPr>
        <w:rPr>
          <w:b/>
        </w:rPr>
      </w:pPr>
      <w:r>
        <w:t xml:space="preserve">the Atlantic Canada Curriculum outcomes addressed by the centres </w:t>
      </w:r>
    </w:p>
    <w:p w:rsidR="00444F4D" w:rsidRPr="00554C32" w:rsidRDefault="00444F4D" w:rsidP="00444F4D">
      <w:pPr>
        <w:numPr>
          <w:ilvl w:val="1"/>
          <w:numId w:val="1"/>
        </w:numPr>
        <w:rPr>
          <w:b/>
        </w:rPr>
      </w:pPr>
      <w:r>
        <w:t>a summary of each centre</w:t>
      </w:r>
    </w:p>
    <w:p w:rsidR="00444F4D" w:rsidRPr="00554C32" w:rsidRDefault="00444F4D" w:rsidP="00444F4D">
      <w:pPr>
        <w:numPr>
          <w:ilvl w:val="1"/>
          <w:numId w:val="1"/>
        </w:numPr>
        <w:rPr>
          <w:b/>
        </w:rPr>
      </w:pPr>
      <w:r>
        <w:t>a detailed explanation as to which outcomes and processes are being assessed by each centre and how they should be assessed.</w:t>
      </w:r>
    </w:p>
    <w:p w:rsidR="00444F4D" w:rsidRPr="00554C32" w:rsidRDefault="00444F4D" w:rsidP="00444F4D">
      <w:pPr>
        <w:numPr>
          <w:ilvl w:val="0"/>
          <w:numId w:val="1"/>
        </w:numPr>
        <w:rPr>
          <w:b/>
        </w:rPr>
      </w:pPr>
      <w:r>
        <w:t>Your centres should draw upon what you have learned in your P&amp;P and inclusion classes, as well as in this class to ensure there is a significant level of differentiation in each of the centres. In particular you should incorporate differentiation through a variety of:</w:t>
      </w:r>
    </w:p>
    <w:p w:rsidR="00444F4D" w:rsidRPr="00554C32" w:rsidRDefault="00444F4D" w:rsidP="00444F4D">
      <w:pPr>
        <w:numPr>
          <w:ilvl w:val="1"/>
          <w:numId w:val="1"/>
        </w:numPr>
        <w:rPr>
          <w:b/>
        </w:rPr>
      </w:pPr>
      <w:r>
        <w:t>learning modalities</w:t>
      </w:r>
    </w:p>
    <w:p w:rsidR="00444F4D" w:rsidRPr="00554C32" w:rsidRDefault="00444F4D" w:rsidP="00444F4D">
      <w:pPr>
        <w:numPr>
          <w:ilvl w:val="1"/>
          <w:numId w:val="1"/>
        </w:numPr>
        <w:rPr>
          <w:b/>
        </w:rPr>
      </w:pPr>
      <w:r>
        <w:t>learning styles</w:t>
      </w:r>
    </w:p>
    <w:p w:rsidR="00444F4D" w:rsidRPr="00554C32" w:rsidRDefault="00444F4D" w:rsidP="00444F4D">
      <w:pPr>
        <w:numPr>
          <w:ilvl w:val="1"/>
          <w:numId w:val="1"/>
        </w:numPr>
        <w:rPr>
          <w:b/>
        </w:rPr>
      </w:pPr>
      <w:r>
        <w:t>multiple representations</w:t>
      </w:r>
    </w:p>
    <w:p w:rsidR="00444F4D" w:rsidRPr="00554C32" w:rsidRDefault="00444F4D" w:rsidP="00444F4D">
      <w:pPr>
        <w:numPr>
          <w:ilvl w:val="1"/>
          <w:numId w:val="1"/>
        </w:numPr>
        <w:rPr>
          <w:b/>
        </w:rPr>
      </w:pPr>
      <w:r>
        <w:t>levels of difficulty</w:t>
      </w:r>
    </w:p>
    <w:p w:rsidR="00444F4D" w:rsidRPr="00554C32" w:rsidRDefault="00444F4D" w:rsidP="00444F4D">
      <w:pPr>
        <w:numPr>
          <w:ilvl w:val="0"/>
          <w:numId w:val="1"/>
        </w:numPr>
        <w:rPr>
          <w:b/>
        </w:rPr>
      </w:pPr>
      <w:r>
        <w:t>You will be given time in class to set up your learning centres and allow your classmates to engage with the activities and ask questions. The presentations will occur on the following dates:</w:t>
      </w:r>
    </w:p>
    <w:p w:rsidR="00444F4D" w:rsidRPr="00554C32" w:rsidRDefault="001F2907" w:rsidP="00444F4D">
      <w:pPr>
        <w:numPr>
          <w:ilvl w:val="1"/>
          <w:numId w:val="1"/>
        </w:numPr>
        <w:rPr>
          <w:b/>
        </w:rPr>
      </w:pPr>
      <w:r>
        <w:t xml:space="preserve">February 23, 2010 – P, 1, </w:t>
      </w:r>
      <w:r w:rsidR="00444F4D">
        <w:t>2</w:t>
      </w:r>
      <w:r>
        <w:t xml:space="preserve"> &amp; 3</w:t>
      </w:r>
    </w:p>
    <w:p w:rsidR="00444F4D" w:rsidRPr="00554C32" w:rsidRDefault="001F2907" w:rsidP="00444F4D">
      <w:pPr>
        <w:numPr>
          <w:ilvl w:val="1"/>
          <w:numId w:val="1"/>
        </w:numPr>
        <w:rPr>
          <w:b/>
        </w:rPr>
      </w:pPr>
      <w:r>
        <w:t>February 25, 2010 – 4</w:t>
      </w:r>
      <w:r w:rsidR="00444F4D">
        <w:t xml:space="preserve">, </w:t>
      </w:r>
      <w:r>
        <w:t>5 &amp; 6</w:t>
      </w:r>
    </w:p>
    <w:p w:rsidR="00444F4D" w:rsidRPr="00554C32" w:rsidRDefault="00444F4D" w:rsidP="00444F4D">
      <w:pPr>
        <w:numPr>
          <w:ilvl w:val="0"/>
          <w:numId w:val="1"/>
        </w:numPr>
        <w:rPr>
          <w:b/>
        </w:rPr>
      </w:pPr>
      <w:r>
        <w:t>Some key points to remember:</w:t>
      </w:r>
    </w:p>
    <w:p w:rsidR="00444F4D" w:rsidRPr="00554C32" w:rsidRDefault="00444F4D" w:rsidP="00444F4D">
      <w:pPr>
        <w:numPr>
          <w:ilvl w:val="1"/>
          <w:numId w:val="1"/>
        </w:numPr>
        <w:rPr>
          <w:b/>
        </w:rPr>
      </w:pPr>
      <w:r>
        <w:t>Learning centres are meant to be student-led not teacher led. The centre directions should be clear enough that students can easily engage with the tasks without help from teacher.</w:t>
      </w:r>
    </w:p>
    <w:p w:rsidR="00444F4D" w:rsidRPr="00554C32" w:rsidRDefault="00444F4D" w:rsidP="00444F4D">
      <w:pPr>
        <w:numPr>
          <w:ilvl w:val="1"/>
          <w:numId w:val="1"/>
        </w:numPr>
        <w:rPr>
          <w:b/>
        </w:rPr>
      </w:pPr>
      <w:r>
        <w:t>Attend to the reading level for the grade level. Remember most grade primary and 1 students in particular cannot read written directions.</w:t>
      </w:r>
    </w:p>
    <w:p w:rsidR="00444F4D" w:rsidRPr="003532FF" w:rsidRDefault="00444F4D" w:rsidP="00444F4D">
      <w:pPr>
        <w:numPr>
          <w:ilvl w:val="1"/>
          <w:numId w:val="1"/>
        </w:numPr>
        <w:rPr>
          <w:b/>
        </w:rPr>
      </w:pPr>
      <w:r>
        <w:t>It is often a good idea to include variety in a centre so that the student can return to the centre and engage with a different but similar task.</w:t>
      </w:r>
    </w:p>
    <w:p w:rsidR="00444F4D" w:rsidRPr="003532FF" w:rsidRDefault="00444F4D" w:rsidP="00444F4D">
      <w:pPr>
        <w:numPr>
          <w:ilvl w:val="1"/>
          <w:numId w:val="1"/>
        </w:numPr>
        <w:rPr>
          <w:b/>
        </w:rPr>
      </w:pPr>
      <w:r>
        <w:t>Manipulatives are available to be borrowed from the CRC although please be mindful to share.</w:t>
      </w:r>
    </w:p>
    <w:p w:rsidR="00444F4D" w:rsidRPr="00E3191B" w:rsidRDefault="00444F4D" w:rsidP="00444F4D">
      <w:pPr>
        <w:numPr>
          <w:ilvl w:val="1"/>
          <w:numId w:val="1"/>
        </w:numPr>
        <w:rPr>
          <w:b/>
        </w:rPr>
      </w:pPr>
      <w:r>
        <w:t>Activities should be focused on good mathematics, rich and meaningful tasks, and should be fun and engaging for students.</w:t>
      </w:r>
    </w:p>
    <w:p w:rsidR="00444F4D" w:rsidRDefault="00444F4D" w:rsidP="00444F4D">
      <w:pPr>
        <w:numPr>
          <w:ilvl w:val="1"/>
          <w:numId w:val="1"/>
        </w:numPr>
        <w:rPr>
          <w:b/>
        </w:rPr>
      </w:pPr>
      <w:r>
        <w:t>You should cite any sources you make use of.</w:t>
      </w:r>
    </w:p>
    <w:p w:rsidR="00444F4D" w:rsidRPr="004232AA" w:rsidRDefault="00444F4D" w:rsidP="00444F4D">
      <w:pPr>
        <w:rPr>
          <w:b/>
        </w:rPr>
      </w:pPr>
      <w:r>
        <w:rPr>
          <w:b/>
        </w:rPr>
        <w:br w:type="page"/>
      </w:r>
      <w:r w:rsidRPr="004232AA">
        <w:rPr>
          <w:b/>
        </w:rPr>
        <w:t>Scoring Rubric</w:t>
      </w:r>
    </w:p>
    <w:tbl>
      <w:tblPr>
        <w:tblStyle w:val="TableGrid"/>
        <w:tblW w:w="10260" w:type="dxa"/>
        <w:tblInd w:w="-612" w:type="dxa"/>
        <w:tblLayout w:type="fixed"/>
        <w:tblLook w:val="01E0"/>
      </w:tblPr>
      <w:tblGrid>
        <w:gridCol w:w="468"/>
        <w:gridCol w:w="1332"/>
        <w:gridCol w:w="2115"/>
        <w:gridCol w:w="2115"/>
        <w:gridCol w:w="2115"/>
        <w:gridCol w:w="2115"/>
      </w:tblGrid>
      <w:tr w:rsidR="00444F4D">
        <w:tc>
          <w:tcPr>
            <w:tcW w:w="1800" w:type="dxa"/>
            <w:gridSpan w:val="2"/>
          </w:tcPr>
          <w:p w:rsidR="00444F4D" w:rsidRPr="004232AA" w:rsidRDefault="00444F4D" w:rsidP="00DB6B83"/>
        </w:tc>
        <w:tc>
          <w:tcPr>
            <w:tcW w:w="2115" w:type="dxa"/>
          </w:tcPr>
          <w:p w:rsidR="00444F4D" w:rsidRPr="004232AA" w:rsidRDefault="00444F4D" w:rsidP="00DB6B83">
            <w:pPr>
              <w:jc w:val="center"/>
              <w:rPr>
                <w:b/>
              </w:rPr>
            </w:pPr>
            <w:r w:rsidRPr="004232AA">
              <w:rPr>
                <w:b/>
              </w:rPr>
              <w:t>4</w:t>
            </w:r>
          </w:p>
        </w:tc>
        <w:tc>
          <w:tcPr>
            <w:tcW w:w="2115" w:type="dxa"/>
          </w:tcPr>
          <w:p w:rsidR="00444F4D" w:rsidRPr="004232AA" w:rsidRDefault="00444F4D" w:rsidP="00DB6B83">
            <w:pPr>
              <w:jc w:val="center"/>
              <w:rPr>
                <w:b/>
              </w:rPr>
            </w:pPr>
            <w:r w:rsidRPr="004232AA">
              <w:rPr>
                <w:b/>
              </w:rPr>
              <w:t>3</w:t>
            </w:r>
          </w:p>
        </w:tc>
        <w:tc>
          <w:tcPr>
            <w:tcW w:w="2115" w:type="dxa"/>
          </w:tcPr>
          <w:p w:rsidR="00444F4D" w:rsidRPr="004232AA" w:rsidRDefault="00444F4D" w:rsidP="00DB6B83">
            <w:pPr>
              <w:jc w:val="center"/>
              <w:rPr>
                <w:b/>
              </w:rPr>
            </w:pPr>
            <w:r w:rsidRPr="004232AA">
              <w:rPr>
                <w:b/>
              </w:rPr>
              <w:t>2</w:t>
            </w:r>
          </w:p>
        </w:tc>
        <w:tc>
          <w:tcPr>
            <w:tcW w:w="2115" w:type="dxa"/>
          </w:tcPr>
          <w:p w:rsidR="00444F4D" w:rsidRPr="004232AA" w:rsidRDefault="00444F4D" w:rsidP="00DB6B83">
            <w:pPr>
              <w:jc w:val="center"/>
              <w:rPr>
                <w:b/>
              </w:rPr>
            </w:pPr>
            <w:r w:rsidRPr="004232AA">
              <w:rPr>
                <w:b/>
              </w:rPr>
              <w:t>1</w:t>
            </w:r>
          </w:p>
        </w:tc>
      </w:tr>
      <w:tr w:rsidR="00444F4D">
        <w:tc>
          <w:tcPr>
            <w:tcW w:w="1800" w:type="dxa"/>
            <w:gridSpan w:val="2"/>
          </w:tcPr>
          <w:p w:rsidR="00444F4D" w:rsidRPr="004232AA" w:rsidRDefault="00444F4D" w:rsidP="00DB6B83">
            <w:pPr>
              <w:jc w:val="right"/>
              <w:rPr>
                <w:b/>
              </w:rPr>
            </w:pPr>
            <w:r w:rsidRPr="004232AA">
              <w:rPr>
                <w:b/>
              </w:rPr>
              <w:t>Your centre’s appeal</w:t>
            </w:r>
          </w:p>
        </w:tc>
        <w:tc>
          <w:tcPr>
            <w:tcW w:w="2115" w:type="dxa"/>
          </w:tcPr>
          <w:p w:rsidR="00444F4D" w:rsidRPr="004232AA" w:rsidRDefault="00444F4D" w:rsidP="00DB6B83">
            <w:pPr>
              <w:autoSpaceDE w:val="0"/>
              <w:autoSpaceDN w:val="0"/>
              <w:adjustRightInd w:val="0"/>
            </w:pPr>
            <w:r w:rsidRPr="004232AA">
              <w:t>the centre is presented</w:t>
            </w:r>
          </w:p>
          <w:p w:rsidR="00444F4D" w:rsidRPr="004232AA" w:rsidRDefault="00444F4D" w:rsidP="00DB6B83">
            <w:pPr>
              <w:autoSpaceDE w:val="0"/>
              <w:autoSpaceDN w:val="0"/>
              <w:adjustRightInd w:val="0"/>
            </w:pPr>
            <w:r w:rsidRPr="004232AA">
              <w:t>such that the task and</w:t>
            </w:r>
          </w:p>
          <w:p w:rsidR="00444F4D" w:rsidRPr="004232AA" w:rsidRDefault="00444F4D" w:rsidP="00DB6B83">
            <w:pPr>
              <w:autoSpaceDE w:val="0"/>
              <w:autoSpaceDN w:val="0"/>
              <w:adjustRightInd w:val="0"/>
            </w:pPr>
            <w:r w:rsidRPr="004232AA">
              <w:t>the materials would</w:t>
            </w:r>
          </w:p>
          <w:p w:rsidR="00444F4D" w:rsidRPr="004232AA" w:rsidRDefault="00444F4D" w:rsidP="00DB6B83">
            <w:pPr>
              <w:autoSpaceDE w:val="0"/>
              <w:autoSpaceDN w:val="0"/>
              <w:adjustRightInd w:val="0"/>
            </w:pPr>
            <w:r w:rsidRPr="004232AA">
              <w:t>excite students at the</w:t>
            </w:r>
          </w:p>
          <w:p w:rsidR="00444F4D" w:rsidRPr="004232AA" w:rsidRDefault="00444F4D" w:rsidP="00DB6B83">
            <w:pPr>
              <w:autoSpaceDE w:val="0"/>
              <w:autoSpaceDN w:val="0"/>
              <w:adjustRightInd w:val="0"/>
            </w:pPr>
            <w:r w:rsidRPr="004232AA">
              <w:t>given level</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the centre is presented</w:t>
            </w:r>
          </w:p>
          <w:p w:rsidR="00444F4D" w:rsidRPr="004232AA" w:rsidRDefault="00444F4D" w:rsidP="00DB6B83">
            <w:pPr>
              <w:autoSpaceDE w:val="0"/>
              <w:autoSpaceDN w:val="0"/>
              <w:adjustRightInd w:val="0"/>
            </w:pPr>
            <w:r w:rsidRPr="004232AA">
              <w:t>such that the task and</w:t>
            </w:r>
          </w:p>
          <w:p w:rsidR="00444F4D" w:rsidRPr="004232AA" w:rsidRDefault="00444F4D" w:rsidP="00DB6B83">
            <w:pPr>
              <w:autoSpaceDE w:val="0"/>
              <w:autoSpaceDN w:val="0"/>
              <w:adjustRightInd w:val="0"/>
            </w:pPr>
            <w:r w:rsidRPr="004232AA">
              <w:t>the materials would</w:t>
            </w:r>
          </w:p>
          <w:p w:rsidR="00444F4D" w:rsidRPr="004232AA" w:rsidRDefault="00444F4D" w:rsidP="00DB6B83">
            <w:pPr>
              <w:autoSpaceDE w:val="0"/>
              <w:autoSpaceDN w:val="0"/>
              <w:adjustRightInd w:val="0"/>
            </w:pPr>
            <w:r w:rsidRPr="004232AA">
              <w:t>engage students at the given level</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the appeal of the</w:t>
            </w:r>
          </w:p>
          <w:p w:rsidR="00444F4D" w:rsidRPr="004232AA" w:rsidRDefault="00444F4D" w:rsidP="00DB6B83">
            <w:pPr>
              <w:autoSpaceDE w:val="0"/>
              <w:autoSpaceDN w:val="0"/>
              <w:adjustRightInd w:val="0"/>
            </w:pPr>
            <w:r w:rsidRPr="004232AA">
              <w:t>centre’s task is</w:t>
            </w:r>
          </w:p>
          <w:p w:rsidR="00444F4D" w:rsidRPr="004232AA" w:rsidRDefault="00444F4D" w:rsidP="00DB6B83">
            <w:pPr>
              <w:autoSpaceDE w:val="0"/>
              <w:autoSpaceDN w:val="0"/>
              <w:adjustRightInd w:val="0"/>
            </w:pPr>
            <w:r w:rsidRPr="004232AA">
              <w:t>questionable</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the centre’s task is</w:t>
            </w:r>
          </w:p>
          <w:p w:rsidR="00444F4D" w:rsidRPr="004232AA" w:rsidRDefault="00444F4D" w:rsidP="00DB6B83">
            <w:pPr>
              <w:autoSpaceDE w:val="0"/>
              <w:autoSpaceDN w:val="0"/>
              <w:adjustRightInd w:val="0"/>
            </w:pPr>
            <w:r w:rsidRPr="004232AA">
              <w:t>unlikely to appeal to</w:t>
            </w:r>
          </w:p>
          <w:p w:rsidR="00444F4D" w:rsidRPr="004232AA" w:rsidRDefault="00444F4D" w:rsidP="00DB6B83">
            <w:pPr>
              <w:autoSpaceDE w:val="0"/>
              <w:autoSpaceDN w:val="0"/>
              <w:adjustRightInd w:val="0"/>
            </w:pPr>
            <w:r w:rsidRPr="004232AA">
              <w:t>students at the given</w:t>
            </w:r>
          </w:p>
          <w:p w:rsidR="00444F4D" w:rsidRPr="004232AA" w:rsidRDefault="00444F4D" w:rsidP="00DB6B83">
            <w:pPr>
              <w:autoSpaceDE w:val="0"/>
              <w:autoSpaceDN w:val="0"/>
              <w:adjustRightInd w:val="0"/>
            </w:pPr>
            <w:r w:rsidRPr="004232AA">
              <w:t>level</w:t>
            </w:r>
          </w:p>
          <w:p w:rsidR="00444F4D" w:rsidRPr="004232AA" w:rsidRDefault="00444F4D" w:rsidP="00DB6B83"/>
        </w:tc>
      </w:tr>
      <w:tr w:rsidR="00444F4D">
        <w:tc>
          <w:tcPr>
            <w:tcW w:w="1800" w:type="dxa"/>
            <w:gridSpan w:val="2"/>
          </w:tcPr>
          <w:p w:rsidR="00444F4D" w:rsidRPr="004232AA" w:rsidRDefault="00444F4D" w:rsidP="00DB6B83">
            <w:pPr>
              <w:jc w:val="right"/>
              <w:rPr>
                <w:b/>
              </w:rPr>
            </w:pPr>
            <w:r w:rsidRPr="004232AA">
              <w:rPr>
                <w:b/>
              </w:rPr>
              <w:t>Your centre’s directions</w:t>
            </w:r>
          </w:p>
        </w:tc>
        <w:tc>
          <w:tcPr>
            <w:tcW w:w="2115" w:type="dxa"/>
          </w:tcPr>
          <w:p w:rsidR="00444F4D" w:rsidRPr="004232AA" w:rsidRDefault="00444F4D" w:rsidP="00DB6B83">
            <w:pPr>
              <w:autoSpaceDE w:val="0"/>
              <w:autoSpaceDN w:val="0"/>
              <w:adjustRightInd w:val="0"/>
            </w:pPr>
            <w:r w:rsidRPr="004232AA">
              <w:t>the centre gives clear</w:t>
            </w:r>
          </w:p>
          <w:p w:rsidR="00444F4D" w:rsidRPr="004232AA" w:rsidRDefault="00444F4D" w:rsidP="00DB6B83">
            <w:pPr>
              <w:autoSpaceDE w:val="0"/>
              <w:autoSpaceDN w:val="0"/>
              <w:adjustRightInd w:val="0"/>
            </w:pPr>
            <w:r w:rsidRPr="004232AA">
              <w:t>age-appropriate</w:t>
            </w:r>
          </w:p>
          <w:p w:rsidR="00444F4D" w:rsidRPr="004232AA" w:rsidRDefault="00444F4D" w:rsidP="00DB6B83">
            <w:pPr>
              <w:autoSpaceDE w:val="0"/>
              <w:autoSpaceDN w:val="0"/>
              <w:adjustRightInd w:val="0"/>
            </w:pPr>
            <w:r w:rsidRPr="004232AA">
              <w:t>directions for  students to engage in rich and relevant activity</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the centre gives</w:t>
            </w:r>
          </w:p>
          <w:p w:rsidR="00444F4D" w:rsidRPr="004232AA" w:rsidRDefault="00444F4D" w:rsidP="00DB6B83">
            <w:pPr>
              <w:autoSpaceDE w:val="0"/>
              <w:autoSpaceDN w:val="0"/>
              <w:adjustRightInd w:val="0"/>
            </w:pPr>
            <w:r w:rsidRPr="004232AA">
              <w:t>adequate directions for students to engage in worthwhile and</w:t>
            </w:r>
          </w:p>
          <w:p w:rsidR="00444F4D" w:rsidRPr="004232AA" w:rsidRDefault="00444F4D" w:rsidP="00DB6B83">
            <w:pPr>
              <w:autoSpaceDE w:val="0"/>
              <w:autoSpaceDN w:val="0"/>
              <w:adjustRightInd w:val="0"/>
            </w:pPr>
            <w:r w:rsidRPr="004232AA">
              <w:t>relevant activity</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the relevance of the</w:t>
            </w:r>
          </w:p>
          <w:p w:rsidR="00444F4D" w:rsidRPr="004232AA" w:rsidRDefault="00444F4D" w:rsidP="00DB6B83">
            <w:pPr>
              <w:autoSpaceDE w:val="0"/>
              <w:autoSpaceDN w:val="0"/>
              <w:adjustRightInd w:val="0"/>
            </w:pPr>
            <w:r w:rsidRPr="004232AA">
              <w:t>task is questionable</w:t>
            </w:r>
          </w:p>
          <w:p w:rsidR="00444F4D" w:rsidRPr="004232AA" w:rsidRDefault="00444F4D" w:rsidP="00DB6B83">
            <w:pPr>
              <w:autoSpaceDE w:val="0"/>
              <w:autoSpaceDN w:val="0"/>
              <w:adjustRightInd w:val="0"/>
            </w:pPr>
            <w:r w:rsidRPr="004232AA">
              <w:t>in relation to</w:t>
            </w:r>
          </w:p>
          <w:p w:rsidR="00444F4D" w:rsidRPr="004232AA" w:rsidRDefault="00444F4D" w:rsidP="00DB6B83">
            <w:pPr>
              <w:autoSpaceDE w:val="0"/>
              <w:autoSpaceDN w:val="0"/>
              <w:adjustRightInd w:val="0"/>
            </w:pPr>
            <w:r w:rsidRPr="004232AA">
              <w:t>curriculum and NCTM process demands</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the task is not relevant</w:t>
            </w:r>
          </w:p>
          <w:p w:rsidR="00444F4D" w:rsidRPr="004232AA" w:rsidRDefault="00444F4D" w:rsidP="00DB6B83">
            <w:pPr>
              <w:autoSpaceDE w:val="0"/>
              <w:autoSpaceDN w:val="0"/>
              <w:adjustRightInd w:val="0"/>
            </w:pPr>
            <w:r w:rsidRPr="004232AA">
              <w:t>in relation to</w:t>
            </w:r>
          </w:p>
          <w:p w:rsidR="00444F4D" w:rsidRPr="004232AA" w:rsidRDefault="00444F4D" w:rsidP="00DB6B83">
            <w:pPr>
              <w:autoSpaceDE w:val="0"/>
              <w:autoSpaceDN w:val="0"/>
              <w:adjustRightInd w:val="0"/>
            </w:pPr>
            <w:r w:rsidRPr="004232AA">
              <w:t>curriculum and NCTM process demands</w:t>
            </w:r>
          </w:p>
          <w:p w:rsidR="00444F4D" w:rsidRPr="004232AA" w:rsidRDefault="00444F4D" w:rsidP="00DB6B83"/>
        </w:tc>
      </w:tr>
      <w:tr w:rsidR="00444F4D">
        <w:tc>
          <w:tcPr>
            <w:tcW w:w="1800" w:type="dxa"/>
            <w:gridSpan w:val="2"/>
          </w:tcPr>
          <w:p w:rsidR="00444F4D" w:rsidRPr="004232AA" w:rsidRDefault="00444F4D" w:rsidP="00DB6B83">
            <w:pPr>
              <w:jc w:val="right"/>
              <w:rPr>
                <w:b/>
              </w:rPr>
            </w:pPr>
            <w:r w:rsidRPr="004232AA">
              <w:rPr>
                <w:b/>
              </w:rPr>
              <w:t>Cohesion and depth of centres</w:t>
            </w:r>
          </w:p>
        </w:tc>
        <w:tc>
          <w:tcPr>
            <w:tcW w:w="2115" w:type="dxa"/>
          </w:tcPr>
          <w:p w:rsidR="00444F4D" w:rsidRPr="004232AA" w:rsidRDefault="00444F4D" w:rsidP="00DB6B83">
            <w:pPr>
              <w:autoSpaceDE w:val="0"/>
              <w:autoSpaceDN w:val="0"/>
              <w:adjustRightInd w:val="0"/>
            </w:pPr>
            <w:r w:rsidRPr="004232AA">
              <w:t>the centres cohere</w:t>
            </w:r>
          </w:p>
          <w:p w:rsidR="00444F4D" w:rsidRPr="004232AA" w:rsidRDefault="00444F4D" w:rsidP="00DB6B83">
            <w:pPr>
              <w:autoSpaceDE w:val="0"/>
              <w:autoSpaceDN w:val="0"/>
              <w:adjustRightInd w:val="0"/>
            </w:pPr>
            <w:r w:rsidRPr="004232AA">
              <w:rPr>
                <w:i/>
                <w:iCs/>
              </w:rPr>
              <w:t xml:space="preserve">strongly </w:t>
            </w:r>
            <w:r w:rsidRPr="004232AA">
              <w:t>around a</w:t>
            </w:r>
          </w:p>
          <w:p w:rsidR="00444F4D" w:rsidRPr="004232AA" w:rsidRDefault="00444F4D" w:rsidP="00DB6B83">
            <w:pPr>
              <w:autoSpaceDE w:val="0"/>
              <w:autoSpaceDN w:val="0"/>
              <w:adjustRightInd w:val="0"/>
            </w:pPr>
            <w:r w:rsidRPr="004232AA">
              <w:t xml:space="preserve">central topic/idea, and direct a range of </w:t>
            </w:r>
            <w:r w:rsidRPr="004232AA">
              <w:rPr>
                <w:i/>
                <w:iCs/>
              </w:rPr>
              <w:t xml:space="preserve">rich </w:t>
            </w:r>
            <w:r w:rsidRPr="004232AA">
              <w:t>mathematical activity (content and</w:t>
            </w:r>
          </w:p>
          <w:p w:rsidR="00444F4D" w:rsidRPr="004232AA" w:rsidRDefault="00444F4D" w:rsidP="00DB6B83">
            <w:pPr>
              <w:autoSpaceDE w:val="0"/>
              <w:autoSpaceDN w:val="0"/>
              <w:adjustRightInd w:val="0"/>
            </w:pPr>
            <w:r w:rsidRPr="004232AA">
              <w:t>processes)</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the centres cohere</w:t>
            </w:r>
          </w:p>
          <w:p w:rsidR="00444F4D" w:rsidRPr="004232AA" w:rsidRDefault="00444F4D" w:rsidP="00DB6B83">
            <w:pPr>
              <w:autoSpaceDE w:val="0"/>
              <w:autoSpaceDN w:val="0"/>
              <w:adjustRightInd w:val="0"/>
            </w:pPr>
            <w:r w:rsidRPr="004232AA">
              <w:t>around a central</w:t>
            </w:r>
          </w:p>
          <w:p w:rsidR="00444F4D" w:rsidRPr="004232AA" w:rsidRDefault="00444F4D" w:rsidP="00DB6B83">
            <w:pPr>
              <w:autoSpaceDE w:val="0"/>
              <w:autoSpaceDN w:val="0"/>
              <w:adjustRightInd w:val="0"/>
            </w:pPr>
            <w:r w:rsidRPr="004232AA">
              <w:t>topic/idea, and direct a range of  mathematical</w:t>
            </w:r>
          </w:p>
          <w:p w:rsidR="00444F4D" w:rsidRPr="004232AA" w:rsidRDefault="00444F4D" w:rsidP="00DB6B83">
            <w:pPr>
              <w:autoSpaceDE w:val="0"/>
              <w:autoSpaceDN w:val="0"/>
              <w:adjustRightInd w:val="0"/>
            </w:pPr>
            <w:r w:rsidRPr="004232AA">
              <w:t>activity (content and</w:t>
            </w:r>
          </w:p>
          <w:p w:rsidR="00444F4D" w:rsidRPr="004232AA" w:rsidRDefault="00444F4D" w:rsidP="00DB6B83">
            <w:pPr>
              <w:autoSpaceDE w:val="0"/>
              <w:autoSpaceDN w:val="0"/>
              <w:adjustRightInd w:val="0"/>
            </w:pPr>
            <w:r w:rsidRPr="004232AA">
              <w:t>processes)</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the centres either</w:t>
            </w:r>
          </w:p>
          <w:p w:rsidR="00444F4D" w:rsidRPr="004232AA" w:rsidRDefault="00444F4D" w:rsidP="00DB6B83">
            <w:pPr>
              <w:autoSpaceDE w:val="0"/>
              <w:autoSpaceDN w:val="0"/>
              <w:adjustRightInd w:val="0"/>
            </w:pPr>
            <w:r w:rsidRPr="004232AA">
              <w:t>cohere around a</w:t>
            </w:r>
          </w:p>
          <w:p w:rsidR="00444F4D" w:rsidRPr="004232AA" w:rsidRDefault="00444F4D" w:rsidP="00DB6B83">
            <w:pPr>
              <w:autoSpaceDE w:val="0"/>
              <w:autoSpaceDN w:val="0"/>
              <w:adjustRightInd w:val="0"/>
            </w:pPr>
            <w:r w:rsidRPr="004232AA">
              <w:t>central topic/idea, or</w:t>
            </w:r>
          </w:p>
          <w:p w:rsidR="00444F4D" w:rsidRPr="004232AA" w:rsidRDefault="00444F4D" w:rsidP="00DB6B83">
            <w:pPr>
              <w:autoSpaceDE w:val="0"/>
              <w:autoSpaceDN w:val="0"/>
              <w:adjustRightInd w:val="0"/>
            </w:pPr>
            <w:r w:rsidRPr="004232AA">
              <w:t>direct a range of</w:t>
            </w:r>
          </w:p>
          <w:p w:rsidR="00444F4D" w:rsidRPr="004232AA" w:rsidRDefault="00444F4D" w:rsidP="00DB6B83">
            <w:pPr>
              <w:autoSpaceDE w:val="0"/>
              <w:autoSpaceDN w:val="0"/>
              <w:adjustRightInd w:val="0"/>
            </w:pPr>
            <w:r w:rsidRPr="004232AA">
              <w:t>mathematical</w:t>
            </w:r>
          </w:p>
          <w:p w:rsidR="00444F4D" w:rsidRPr="004232AA" w:rsidRDefault="00444F4D" w:rsidP="00DB6B83">
            <w:pPr>
              <w:autoSpaceDE w:val="0"/>
              <w:autoSpaceDN w:val="0"/>
              <w:adjustRightInd w:val="0"/>
            </w:pPr>
            <w:r w:rsidRPr="004232AA">
              <w:t>processes, but not both</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the connections</w:t>
            </w:r>
          </w:p>
          <w:p w:rsidR="00444F4D" w:rsidRPr="004232AA" w:rsidRDefault="00444F4D" w:rsidP="00DB6B83">
            <w:pPr>
              <w:autoSpaceDE w:val="0"/>
              <w:autoSpaceDN w:val="0"/>
              <w:adjustRightInd w:val="0"/>
            </w:pPr>
            <w:r w:rsidRPr="004232AA">
              <w:t>between the centres is loose, and they do not engage a range of</w:t>
            </w:r>
          </w:p>
          <w:p w:rsidR="00444F4D" w:rsidRPr="004232AA" w:rsidRDefault="00444F4D" w:rsidP="00DB6B83">
            <w:pPr>
              <w:autoSpaceDE w:val="0"/>
              <w:autoSpaceDN w:val="0"/>
              <w:adjustRightInd w:val="0"/>
            </w:pPr>
            <w:r w:rsidRPr="004232AA">
              <w:t>mathematical</w:t>
            </w:r>
          </w:p>
          <w:p w:rsidR="00444F4D" w:rsidRPr="004232AA" w:rsidRDefault="00444F4D" w:rsidP="00DB6B83">
            <w:pPr>
              <w:autoSpaceDE w:val="0"/>
              <w:autoSpaceDN w:val="0"/>
              <w:adjustRightInd w:val="0"/>
            </w:pPr>
            <w:r w:rsidRPr="004232AA">
              <w:t>processes</w:t>
            </w:r>
          </w:p>
          <w:p w:rsidR="00444F4D" w:rsidRPr="004232AA" w:rsidRDefault="00444F4D" w:rsidP="00DB6B83"/>
        </w:tc>
      </w:tr>
      <w:tr w:rsidR="00444F4D">
        <w:tc>
          <w:tcPr>
            <w:tcW w:w="1800" w:type="dxa"/>
            <w:gridSpan w:val="2"/>
          </w:tcPr>
          <w:p w:rsidR="00444F4D" w:rsidRPr="004232AA" w:rsidRDefault="00444F4D" w:rsidP="00DB6B83">
            <w:pPr>
              <w:jc w:val="right"/>
              <w:rPr>
                <w:b/>
              </w:rPr>
            </w:pPr>
            <w:r w:rsidRPr="004232AA">
              <w:rPr>
                <w:b/>
              </w:rPr>
              <w:t>Differentiation</w:t>
            </w:r>
          </w:p>
        </w:tc>
        <w:tc>
          <w:tcPr>
            <w:tcW w:w="2115" w:type="dxa"/>
          </w:tcPr>
          <w:p w:rsidR="00444F4D" w:rsidRPr="004232AA" w:rsidRDefault="00444F4D" w:rsidP="00DB6B83">
            <w:r w:rsidRPr="004232AA">
              <w:t>centres draw on an excellent variety of representations, learning modalities and learning styles, with varying levels of difficulty to allow all students to engage with the tasks</w:t>
            </w:r>
          </w:p>
        </w:tc>
        <w:tc>
          <w:tcPr>
            <w:tcW w:w="2115" w:type="dxa"/>
          </w:tcPr>
          <w:p w:rsidR="00444F4D" w:rsidRPr="004232AA" w:rsidRDefault="00444F4D" w:rsidP="00DB6B83">
            <w:r w:rsidRPr="004232AA">
              <w:t>centres draw on an  good variety of representations, learning modalities and learning styles, with varying levels of difficulty to allow students to engage with the tasks</w:t>
            </w:r>
          </w:p>
        </w:tc>
        <w:tc>
          <w:tcPr>
            <w:tcW w:w="2115" w:type="dxa"/>
          </w:tcPr>
          <w:p w:rsidR="00444F4D" w:rsidRPr="004232AA" w:rsidRDefault="00444F4D" w:rsidP="00DB6B83">
            <w:r w:rsidRPr="004232AA">
              <w:t>centres draw on limited use of representations, learning modalities and learning styles, with varying levels of difficulty limiting the opportunity for  all students to engage</w:t>
            </w:r>
          </w:p>
        </w:tc>
        <w:tc>
          <w:tcPr>
            <w:tcW w:w="2115" w:type="dxa"/>
          </w:tcPr>
          <w:p w:rsidR="00444F4D" w:rsidRPr="004232AA" w:rsidRDefault="00444F4D" w:rsidP="00DB6B83">
            <w:r w:rsidRPr="004232AA">
              <w:t>centres does not draw on a variety of representations, learning modalities or learning styles, and does not allow all students to engage with the tasks</w:t>
            </w:r>
          </w:p>
        </w:tc>
      </w:tr>
      <w:tr w:rsidR="00444F4D">
        <w:tc>
          <w:tcPr>
            <w:tcW w:w="1800" w:type="dxa"/>
            <w:gridSpan w:val="2"/>
          </w:tcPr>
          <w:p w:rsidR="00444F4D" w:rsidRPr="004232AA" w:rsidRDefault="00444F4D" w:rsidP="00DB6B83">
            <w:pPr>
              <w:jc w:val="right"/>
              <w:rPr>
                <w:b/>
              </w:rPr>
            </w:pPr>
            <w:r w:rsidRPr="004232AA">
              <w:rPr>
                <w:b/>
              </w:rPr>
              <w:t>Communication to peers</w:t>
            </w:r>
          </w:p>
        </w:tc>
        <w:tc>
          <w:tcPr>
            <w:tcW w:w="2115" w:type="dxa"/>
          </w:tcPr>
          <w:p w:rsidR="00444F4D" w:rsidRPr="004232AA" w:rsidRDefault="00444F4D" w:rsidP="00DB6B83">
            <w:pPr>
              <w:autoSpaceDE w:val="0"/>
              <w:autoSpaceDN w:val="0"/>
              <w:adjustRightInd w:val="0"/>
            </w:pPr>
            <w:r w:rsidRPr="004232AA">
              <w:t>engaging and</w:t>
            </w:r>
          </w:p>
          <w:p w:rsidR="00444F4D" w:rsidRPr="004232AA" w:rsidRDefault="00444F4D" w:rsidP="00DB6B83">
            <w:pPr>
              <w:autoSpaceDE w:val="0"/>
              <w:autoSpaceDN w:val="0"/>
              <w:adjustRightInd w:val="0"/>
            </w:pPr>
            <w:r w:rsidRPr="004232AA">
              <w:t>knowledgeable</w:t>
            </w:r>
          </w:p>
          <w:p w:rsidR="00444F4D" w:rsidRPr="004232AA" w:rsidRDefault="00444F4D" w:rsidP="00DB6B83">
            <w:pPr>
              <w:autoSpaceDE w:val="0"/>
              <w:autoSpaceDN w:val="0"/>
              <w:adjustRightInd w:val="0"/>
            </w:pPr>
            <w:r w:rsidRPr="004232AA">
              <w:t>presentation of the</w:t>
            </w:r>
          </w:p>
          <w:p w:rsidR="00444F4D" w:rsidRPr="004232AA" w:rsidRDefault="00444F4D" w:rsidP="00DB6B83">
            <w:pPr>
              <w:autoSpaceDE w:val="0"/>
              <w:autoSpaceDN w:val="0"/>
              <w:adjustRightInd w:val="0"/>
            </w:pPr>
            <w:r w:rsidRPr="004232AA">
              <w:t>centres and of the</w:t>
            </w:r>
          </w:p>
          <w:p w:rsidR="00444F4D" w:rsidRPr="004232AA" w:rsidRDefault="00444F4D" w:rsidP="00DB6B83">
            <w:pPr>
              <w:autoSpaceDE w:val="0"/>
              <w:autoSpaceDN w:val="0"/>
              <w:adjustRightInd w:val="0"/>
            </w:pPr>
            <w:r w:rsidRPr="004232AA">
              <w:t>accompanying writing</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solid and clear</w:t>
            </w:r>
          </w:p>
          <w:p w:rsidR="00444F4D" w:rsidRPr="004232AA" w:rsidRDefault="00444F4D" w:rsidP="00DB6B83">
            <w:pPr>
              <w:autoSpaceDE w:val="0"/>
              <w:autoSpaceDN w:val="0"/>
              <w:adjustRightInd w:val="0"/>
            </w:pPr>
            <w:r w:rsidRPr="004232AA">
              <w:t>presentation of the</w:t>
            </w:r>
          </w:p>
          <w:p w:rsidR="00444F4D" w:rsidRPr="004232AA" w:rsidRDefault="00444F4D" w:rsidP="00DB6B83">
            <w:pPr>
              <w:autoSpaceDE w:val="0"/>
              <w:autoSpaceDN w:val="0"/>
              <w:adjustRightInd w:val="0"/>
            </w:pPr>
            <w:r w:rsidRPr="004232AA">
              <w:t>centres and of the</w:t>
            </w:r>
          </w:p>
          <w:p w:rsidR="00444F4D" w:rsidRPr="004232AA" w:rsidRDefault="00444F4D" w:rsidP="00DB6B83">
            <w:pPr>
              <w:autoSpaceDE w:val="0"/>
              <w:autoSpaceDN w:val="0"/>
              <w:adjustRightInd w:val="0"/>
            </w:pPr>
            <w:r w:rsidRPr="004232AA">
              <w:t>accompanying writing</w:t>
            </w:r>
          </w:p>
          <w:p w:rsidR="00444F4D" w:rsidRPr="004232AA" w:rsidRDefault="00444F4D" w:rsidP="00DB6B83"/>
        </w:tc>
        <w:tc>
          <w:tcPr>
            <w:tcW w:w="2115" w:type="dxa"/>
          </w:tcPr>
          <w:p w:rsidR="00444F4D" w:rsidRPr="004232AA" w:rsidRDefault="00444F4D" w:rsidP="00DB6B83">
            <w:pPr>
              <w:autoSpaceDE w:val="0"/>
              <w:autoSpaceDN w:val="0"/>
              <w:adjustRightInd w:val="0"/>
            </w:pPr>
            <w:r>
              <w:t xml:space="preserve">some </w:t>
            </w:r>
            <w:r w:rsidRPr="004232AA">
              <w:t>aspects of the</w:t>
            </w:r>
          </w:p>
          <w:p w:rsidR="00444F4D" w:rsidRPr="004232AA" w:rsidRDefault="00444F4D" w:rsidP="00DB6B83">
            <w:pPr>
              <w:autoSpaceDE w:val="0"/>
              <w:autoSpaceDN w:val="0"/>
              <w:adjustRightInd w:val="0"/>
            </w:pPr>
            <w:r w:rsidRPr="004232AA">
              <w:t>presentation of the</w:t>
            </w:r>
          </w:p>
          <w:p w:rsidR="00444F4D" w:rsidRPr="004232AA" w:rsidRDefault="00444F4D" w:rsidP="00DB6B83">
            <w:pPr>
              <w:autoSpaceDE w:val="0"/>
              <w:autoSpaceDN w:val="0"/>
              <w:adjustRightInd w:val="0"/>
            </w:pPr>
            <w:r w:rsidRPr="004232AA">
              <w:t>centres and the</w:t>
            </w:r>
          </w:p>
          <w:p w:rsidR="00444F4D" w:rsidRDefault="00444F4D" w:rsidP="00DB6B83">
            <w:pPr>
              <w:autoSpaceDE w:val="0"/>
              <w:autoSpaceDN w:val="0"/>
              <w:adjustRightInd w:val="0"/>
            </w:pPr>
            <w:r w:rsidRPr="004232AA">
              <w:t>accompanying writing showed</w:t>
            </w:r>
            <w:r>
              <w:t xml:space="preserve"> </w:t>
            </w:r>
            <w:r w:rsidRPr="004232AA">
              <w:t>professionalism</w:t>
            </w:r>
          </w:p>
          <w:p w:rsidR="00444F4D" w:rsidRPr="004232AA" w:rsidRDefault="00444F4D" w:rsidP="00DB6B83">
            <w:pPr>
              <w:autoSpaceDE w:val="0"/>
              <w:autoSpaceDN w:val="0"/>
              <w:adjustRightInd w:val="0"/>
            </w:pPr>
          </w:p>
        </w:tc>
        <w:tc>
          <w:tcPr>
            <w:tcW w:w="2115" w:type="dxa"/>
          </w:tcPr>
          <w:p w:rsidR="00444F4D" w:rsidRPr="004232AA" w:rsidRDefault="00444F4D" w:rsidP="00DB6B83">
            <w:pPr>
              <w:autoSpaceDE w:val="0"/>
              <w:autoSpaceDN w:val="0"/>
              <w:adjustRightInd w:val="0"/>
            </w:pPr>
            <w:r w:rsidRPr="004232AA">
              <w:t>the presentation of the centres and the</w:t>
            </w:r>
          </w:p>
          <w:p w:rsidR="00444F4D" w:rsidRPr="004232AA" w:rsidRDefault="00444F4D" w:rsidP="00DB6B83">
            <w:pPr>
              <w:autoSpaceDE w:val="0"/>
              <w:autoSpaceDN w:val="0"/>
              <w:adjustRightInd w:val="0"/>
            </w:pPr>
            <w:r w:rsidRPr="004232AA">
              <w:t>accompanying writing lacked professionalism</w:t>
            </w:r>
          </w:p>
          <w:p w:rsidR="00444F4D" w:rsidRPr="004232AA" w:rsidRDefault="00444F4D" w:rsidP="00DB6B83"/>
        </w:tc>
      </w:tr>
      <w:tr w:rsidR="00444F4D">
        <w:tc>
          <w:tcPr>
            <w:tcW w:w="468" w:type="dxa"/>
            <w:vMerge w:val="restart"/>
            <w:shd w:val="clear" w:color="auto" w:fill="auto"/>
            <w:textDirection w:val="btLr"/>
          </w:tcPr>
          <w:p w:rsidR="00444F4D" w:rsidRPr="004232AA" w:rsidRDefault="00444F4D" w:rsidP="00DB6B83">
            <w:pPr>
              <w:ind w:left="113" w:right="113"/>
              <w:jc w:val="center"/>
              <w:rPr>
                <w:b/>
              </w:rPr>
            </w:pPr>
            <w:r w:rsidRPr="004232AA">
              <w:rPr>
                <w:b/>
              </w:rPr>
              <w:t xml:space="preserve">Two Page </w:t>
            </w:r>
            <w:r>
              <w:rPr>
                <w:b/>
              </w:rPr>
              <w:t>Write-</w:t>
            </w:r>
            <w:r w:rsidRPr="004232AA">
              <w:rPr>
                <w:b/>
              </w:rPr>
              <w:t>up</w:t>
            </w:r>
          </w:p>
        </w:tc>
        <w:tc>
          <w:tcPr>
            <w:tcW w:w="1332" w:type="dxa"/>
            <w:shd w:val="clear" w:color="auto" w:fill="auto"/>
          </w:tcPr>
          <w:p w:rsidR="00444F4D" w:rsidRPr="004232AA" w:rsidRDefault="00444F4D" w:rsidP="00DB6B83">
            <w:pPr>
              <w:jc w:val="right"/>
              <w:rPr>
                <w:b/>
              </w:rPr>
            </w:pPr>
            <w:r w:rsidRPr="004232AA">
              <w:rPr>
                <w:b/>
              </w:rPr>
              <w:t>NCTM Process Standards</w:t>
            </w:r>
          </w:p>
        </w:tc>
        <w:tc>
          <w:tcPr>
            <w:tcW w:w="2115" w:type="dxa"/>
          </w:tcPr>
          <w:p w:rsidR="00444F4D" w:rsidRPr="004232AA" w:rsidRDefault="00444F4D" w:rsidP="00DB6B83">
            <w:pPr>
              <w:autoSpaceDE w:val="0"/>
              <w:autoSpaceDN w:val="0"/>
              <w:adjustRightInd w:val="0"/>
            </w:pPr>
            <w:r w:rsidRPr="004232AA">
              <w:t>demonstrates an</w:t>
            </w:r>
          </w:p>
          <w:p w:rsidR="00444F4D" w:rsidRPr="004232AA" w:rsidRDefault="00444F4D" w:rsidP="00DB6B83">
            <w:pPr>
              <w:autoSpaceDE w:val="0"/>
              <w:autoSpaceDN w:val="0"/>
              <w:adjustRightInd w:val="0"/>
            </w:pPr>
            <w:r w:rsidRPr="004232AA">
              <w:t xml:space="preserve">excellent </w:t>
            </w:r>
            <w:r>
              <w:t xml:space="preserve"> u</w:t>
            </w:r>
            <w:r w:rsidRPr="004232AA">
              <w:t>nderstanding of</w:t>
            </w:r>
          </w:p>
          <w:p w:rsidR="00444F4D" w:rsidRPr="004232AA" w:rsidRDefault="00444F4D" w:rsidP="00DB6B83">
            <w:pPr>
              <w:autoSpaceDE w:val="0"/>
              <w:autoSpaceDN w:val="0"/>
              <w:adjustRightInd w:val="0"/>
            </w:pPr>
            <w:r w:rsidRPr="004232AA">
              <w:t>NCTM processes, and demonstrates how to assess them with the centres</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demonstrates a very</w:t>
            </w:r>
          </w:p>
          <w:p w:rsidR="00444F4D" w:rsidRPr="004232AA" w:rsidRDefault="00444F4D" w:rsidP="00DB6B83">
            <w:pPr>
              <w:autoSpaceDE w:val="0"/>
              <w:autoSpaceDN w:val="0"/>
              <w:adjustRightInd w:val="0"/>
            </w:pPr>
            <w:r w:rsidRPr="004232AA">
              <w:t>good understanding of NCTM processes and demonstrates how to assess them with the centres</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demonstrates some</w:t>
            </w:r>
          </w:p>
          <w:p w:rsidR="00444F4D" w:rsidRPr="004232AA" w:rsidRDefault="00444F4D" w:rsidP="00DB6B83">
            <w:pPr>
              <w:autoSpaceDE w:val="0"/>
              <w:autoSpaceDN w:val="0"/>
              <w:adjustRightInd w:val="0"/>
            </w:pPr>
            <w:r w:rsidRPr="004232AA">
              <w:t>understanding of</w:t>
            </w:r>
          </w:p>
          <w:p w:rsidR="00444F4D" w:rsidRPr="004232AA" w:rsidRDefault="00444F4D" w:rsidP="00DB6B83">
            <w:pPr>
              <w:autoSpaceDE w:val="0"/>
              <w:autoSpaceDN w:val="0"/>
              <w:adjustRightInd w:val="0"/>
            </w:pPr>
            <w:r w:rsidRPr="004232AA">
              <w:t>NCTM processes with some misconceptions</w:t>
            </w:r>
          </w:p>
          <w:p w:rsidR="00444F4D" w:rsidRPr="004232AA" w:rsidRDefault="00444F4D" w:rsidP="00DB6B83">
            <w:pPr>
              <w:autoSpaceDE w:val="0"/>
              <w:autoSpaceDN w:val="0"/>
              <w:adjustRightInd w:val="0"/>
            </w:pPr>
            <w:r w:rsidRPr="004232AA">
              <w:t>in application to</w:t>
            </w:r>
          </w:p>
          <w:p w:rsidR="00444F4D" w:rsidRPr="004232AA" w:rsidRDefault="00444F4D" w:rsidP="00DB6B83">
            <w:pPr>
              <w:autoSpaceDE w:val="0"/>
              <w:autoSpaceDN w:val="0"/>
              <w:adjustRightInd w:val="0"/>
            </w:pPr>
            <w:r w:rsidRPr="004232AA">
              <w:t>assessment with the</w:t>
            </w:r>
          </w:p>
          <w:p w:rsidR="00444F4D" w:rsidRPr="004232AA" w:rsidRDefault="00444F4D" w:rsidP="00DB6B83">
            <w:pPr>
              <w:autoSpaceDE w:val="0"/>
              <w:autoSpaceDN w:val="0"/>
              <w:adjustRightInd w:val="0"/>
            </w:pPr>
            <w:r w:rsidRPr="004232AA">
              <w:t>centres</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demonstrates a lack of understanding of</w:t>
            </w:r>
          </w:p>
          <w:p w:rsidR="00444F4D" w:rsidRPr="004232AA" w:rsidRDefault="00444F4D" w:rsidP="00DB6B83">
            <w:pPr>
              <w:autoSpaceDE w:val="0"/>
              <w:autoSpaceDN w:val="0"/>
              <w:adjustRightInd w:val="0"/>
            </w:pPr>
            <w:r w:rsidRPr="004232AA">
              <w:t>assessing NCTM</w:t>
            </w:r>
          </w:p>
          <w:p w:rsidR="00444F4D" w:rsidRPr="004232AA" w:rsidRDefault="00444F4D" w:rsidP="00DB6B83">
            <w:pPr>
              <w:autoSpaceDE w:val="0"/>
              <w:autoSpaceDN w:val="0"/>
              <w:adjustRightInd w:val="0"/>
            </w:pPr>
            <w:r w:rsidRPr="004232AA">
              <w:t>processes in application to the</w:t>
            </w:r>
          </w:p>
          <w:p w:rsidR="00444F4D" w:rsidRPr="004232AA" w:rsidRDefault="00444F4D" w:rsidP="00DB6B83">
            <w:pPr>
              <w:autoSpaceDE w:val="0"/>
              <w:autoSpaceDN w:val="0"/>
              <w:adjustRightInd w:val="0"/>
            </w:pPr>
            <w:r w:rsidRPr="004232AA">
              <w:t>centres</w:t>
            </w:r>
          </w:p>
          <w:p w:rsidR="00444F4D" w:rsidRPr="004232AA" w:rsidRDefault="00444F4D" w:rsidP="00DB6B83"/>
        </w:tc>
      </w:tr>
      <w:tr w:rsidR="00444F4D">
        <w:tc>
          <w:tcPr>
            <w:tcW w:w="468" w:type="dxa"/>
            <w:vMerge/>
            <w:shd w:val="clear" w:color="auto" w:fill="auto"/>
          </w:tcPr>
          <w:p w:rsidR="00444F4D" w:rsidRPr="004232AA" w:rsidRDefault="00444F4D" w:rsidP="00DB6B83">
            <w:pPr>
              <w:jc w:val="right"/>
              <w:rPr>
                <w:b/>
              </w:rPr>
            </w:pPr>
          </w:p>
        </w:tc>
        <w:tc>
          <w:tcPr>
            <w:tcW w:w="1332" w:type="dxa"/>
            <w:shd w:val="clear" w:color="auto" w:fill="auto"/>
          </w:tcPr>
          <w:p w:rsidR="00444F4D" w:rsidRPr="004232AA" w:rsidRDefault="00444F4D" w:rsidP="00DB6B83">
            <w:pPr>
              <w:jc w:val="right"/>
              <w:rPr>
                <w:b/>
              </w:rPr>
            </w:pPr>
            <w:r w:rsidRPr="004232AA">
              <w:rPr>
                <w:b/>
              </w:rPr>
              <w:t>Atlantic Canada Curriculum Connections</w:t>
            </w:r>
          </w:p>
        </w:tc>
        <w:tc>
          <w:tcPr>
            <w:tcW w:w="2115" w:type="dxa"/>
          </w:tcPr>
          <w:p w:rsidR="00444F4D" w:rsidRPr="004232AA" w:rsidRDefault="00444F4D" w:rsidP="00DB6B83">
            <w:pPr>
              <w:autoSpaceDE w:val="0"/>
              <w:autoSpaceDN w:val="0"/>
              <w:adjustRightInd w:val="0"/>
            </w:pPr>
            <w:r w:rsidRPr="004232AA">
              <w:t>lists central curriculum</w:t>
            </w:r>
          </w:p>
          <w:p w:rsidR="00444F4D" w:rsidRPr="004232AA" w:rsidRDefault="00444F4D" w:rsidP="00DB6B83">
            <w:pPr>
              <w:autoSpaceDE w:val="0"/>
              <w:autoSpaceDN w:val="0"/>
              <w:adjustRightInd w:val="0"/>
            </w:pPr>
            <w:r w:rsidRPr="004232AA">
              <w:t>correlations with a</w:t>
            </w:r>
          </w:p>
          <w:p w:rsidR="00444F4D" w:rsidRPr="004232AA" w:rsidRDefault="00444F4D" w:rsidP="00DB6B83">
            <w:pPr>
              <w:autoSpaceDE w:val="0"/>
              <w:autoSpaceDN w:val="0"/>
              <w:adjustRightInd w:val="0"/>
            </w:pPr>
            <w:r w:rsidRPr="004232AA">
              <w:t>clear and well structured</w:t>
            </w:r>
            <w:r>
              <w:t xml:space="preserve"> </w:t>
            </w:r>
            <w:r w:rsidRPr="004232AA">
              <w:t>plan for</w:t>
            </w:r>
          </w:p>
          <w:p w:rsidR="00444F4D" w:rsidRPr="004232AA" w:rsidRDefault="00444F4D" w:rsidP="00DB6B83">
            <w:pPr>
              <w:autoSpaceDE w:val="0"/>
              <w:autoSpaceDN w:val="0"/>
              <w:adjustRightInd w:val="0"/>
            </w:pPr>
            <w:r w:rsidRPr="004232AA">
              <w:t>assessing students’</w:t>
            </w:r>
          </w:p>
          <w:p w:rsidR="00444F4D" w:rsidRPr="004232AA" w:rsidRDefault="00444F4D" w:rsidP="00DB6B83">
            <w:pPr>
              <w:autoSpaceDE w:val="0"/>
              <w:autoSpaceDN w:val="0"/>
              <w:adjustRightInd w:val="0"/>
            </w:pPr>
            <w:r w:rsidRPr="004232AA">
              <w:t>achievement of the</w:t>
            </w:r>
          </w:p>
          <w:p w:rsidR="00444F4D" w:rsidRDefault="00444F4D" w:rsidP="00DB6B83">
            <w:r w:rsidRPr="004232AA">
              <w:t>outcomes</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lists central curriculum</w:t>
            </w:r>
          </w:p>
          <w:p w:rsidR="00444F4D" w:rsidRPr="004232AA" w:rsidRDefault="00444F4D" w:rsidP="00DB6B83">
            <w:pPr>
              <w:autoSpaceDE w:val="0"/>
              <w:autoSpaceDN w:val="0"/>
              <w:adjustRightInd w:val="0"/>
            </w:pPr>
            <w:r w:rsidRPr="004232AA">
              <w:t>correlations with a</w:t>
            </w:r>
          </w:p>
          <w:p w:rsidR="00444F4D" w:rsidRPr="004232AA" w:rsidRDefault="00444F4D" w:rsidP="00DB6B83">
            <w:pPr>
              <w:autoSpaceDE w:val="0"/>
              <w:autoSpaceDN w:val="0"/>
              <w:adjustRightInd w:val="0"/>
            </w:pPr>
            <w:r w:rsidRPr="004232AA">
              <w:t>coherent plan for</w:t>
            </w:r>
          </w:p>
          <w:p w:rsidR="00444F4D" w:rsidRPr="004232AA" w:rsidRDefault="00444F4D" w:rsidP="00DB6B83">
            <w:pPr>
              <w:autoSpaceDE w:val="0"/>
              <w:autoSpaceDN w:val="0"/>
              <w:adjustRightInd w:val="0"/>
            </w:pPr>
            <w:r w:rsidRPr="004232AA">
              <w:t>assessing students’</w:t>
            </w:r>
          </w:p>
          <w:p w:rsidR="00444F4D" w:rsidRPr="004232AA" w:rsidRDefault="00444F4D" w:rsidP="00DB6B83">
            <w:pPr>
              <w:autoSpaceDE w:val="0"/>
              <w:autoSpaceDN w:val="0"/>
              <w:adjustRightInd w:val="0"/>
            </w:pPr>
            <w:r w:rsidRPr="004232AA">
              <w:t>achievement of the</w:t>
            </w:r>
          </w:p>
          <w:p w:rsidR="00444F4D" w:rsidRPr="004232AA" w:rsidRDefault="00444F4D" w:rsidP="00DB6B83">
            <w:pPr>
              <w:autoSpaceDE w:val="0"/>
              <w:autoSpaceDN w:val="0"/>
              <w:adjustRightInd w:val="0"/>
            </w:pPr>
            <w:r w:rsidRPr="004232AA">
              <w:t>outcomes</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lists some curriculum</w:t>
            </w:r>
          </w:p>
          <w:p w:rsidR="00444F4D" w:rsidRPr="004232AA" w:rsidRDefault="00444F4D" w:rsidP="00DB6B83">
            <w:pPr>
              <w:autoSpaceDE w:val="0"/>
              <w:autoSpaceDN w:val="0"/>
              <w:adjustRightInd w:val="0"/>
            </w:pPr>
            <w:r w:rsidRPr="004232AA">
              <w:t>correlations with a</w:t>
            </w:r>
          </w:p>
          <w:p w:rsidR="00444F4D" w:rsidRPr="004232AA" w:rsidRDefault="00444F4D" w:rsidP="00DB6B83">
            <w:pPr>
              <w:autoSpaceDE w:val="0"/>
              <w:autoSpaceDN w:val="0"/>
              <w:adjustRightInd w:val="0"/>
            </w:pPr>
            <w:r w:rsidRPr="004232AA">
              <w:t>somewhat coherent</w:t>
            </w:r>
          </w:p>
          <w:p w:rsidR="00444F4D" w:rsidRPr="004232AA" w:rsidRDefault="00444F4D" w:rsidP="00DB6B83">
            <w:pPr>
              <w:autoSpaceDE w:val="0"/>
              <w:autoSpaceDN w:val="0"/>
              <w:adjustRightInd w:val="0"/>
            </w:pPr>
            <w:r w:rsidRPr="004232AA">
              <w:t>plan for assessing</w:t>
            </w:r>
          </w:p>
          <w:p w:rsidR="00444F4D" w:rsidRPr="004232AA" w:rsidRDefault="00444F4D" w:rsidP="00DB6B83">
            <w:pPr>
              <w:autoSpaceDE w:val="0"/>
              <w:autoSpaceDN w:val="0"/>
              <w:adjustRightInd w:val="0"/>
            </w:pPr>
            <w:r w:rsidRPr="004232AA">
              <w:t>students’ achievement</w:t>
            </w:r>
          </w:p>
          <w:p w:rsidR="00444F4D" w:rsidRPr="004232AA" w:rsidRDefault="00444F4D" w:rsidP="00DB6B83">
            <w:pPr>
              <w:autoSpaceDE w:val="0"/>
              <w:autoSpaceDN w:val="0"/>
              <w:adjustRightInd w:val="0"/>
            </w:pPr>
            <w:r w:rsidRPr="004232AA">
              <w:t>of the outcomes</w:t>
            </w:r>
          </w:p>
          <w:p w:rsidR="00444F4D" w:rsidRPr="004232AA" w:rsidRDefault="00444F4D" w:rsidP="00DB6B83"/>
        </w:tc>
        <w:tc>
          <w:tcPr>
            <w:tcW w:w="2115" w:type="dxa"/>
          </w:tcPr>
          <w:p w:rsidR="00444F4D" w:rsidRPr="004232AA" w:rsidRDefault="00444F4D" w:rsidP="00DB6B83">
            <w:pPr>
              <w:autoSpaceDE w:val="0"/>
              <w:autoSpaceDN w:val="0"/>
              <w:adjustRightInd w:val="0"/>
            </w:pPr>
            <w:r w:rsidRPr="004232AA">
              <w:t>curriculum</w:t>
            </w:r>
          </w:p>
          <w:p w:rsidR="00444F4D" w:rsidRPr="004232AA" w:rsidRDefault="00444F4D" w:rsidP="00DB6B83">
            <w:pPr>
              <w:autoSpaceDE w:val="0"/>
              <w:autoSpaceDN w:val="0"/>
              <w:adjustRightInd w:val="0"/>
            </w:pPr>
            <w:r w:rsidRPr="004232AA">
              <w:t>correlations do not</w:t>
            </w:r>
          </w:p>
          <w:p w:rsidR="00444F4D" w:rsidRPr="004232AA" w:rsidRDefault="00444F4D" w:rsidP="00DB6B83">
            <w:pPr>
              <w:autoSpaceDE w:val="0"/>
              <w:autoSpaceDN w:val="0"/>
              <w:adjustRightInd w:val="0"/>
            </w:pPr>
            <w:r w:rsidRPr="004232AA">
              <w:t>seem to fit the</w:t>
            </w:r>
          </w:p>
          <w:p w:rsidR="00444F4D" w:rsidRPr="004232AA" w:rsidRDefault="00444F4D" w:rsidP="00DB6B83">
            <w:pPr>
              <w:autoSpaceDE w:val="0"/>
              <w:autoSpaceDN w:val="0"/>
              <w:adjustRightInd w:val="0"/>
            </w:pPr>
            <w:r w:rsidRPr="004232AA">
              <w:t>activities or the plan</w:t>
            </w:r>
          </w:p>
          <w:p w:rsidR="00444F4D" w:rsidRPr="004232AA" w:rsidRDefault="00444F4D" w:rsidP="00DB6B83">
            <w:pPr>
              <w:autoSpaceDE w:val="0"/>
              <w:autoSpaceDN w:val="0"/>
              <w:adjustRightInd w:val="0"/>
            </w:pPr>
            <w:r w:rsidRPr="004232AA">
              <w:t>for assessing them is</w:t>
            </w:r>
          </w:p>
          <w:p w:rsidR="00444F4D" w:rsidRPr="004232AA" w:rsidRDefault="00444F4D" w:rsidP="00DB6B83">
            <w:pPr>
              <w:autoSpaceDE w:val="0"/>
              <w:autoSpaceDN w:val="0"/>
              <w:adjustRightInd w:val="0"/>
            </w:pPr>
            <w:r w:rsidRPr="004232AA">
              <w:t>unrealistic</w:t>
            </w:r>
          </w:p>
          <w:p w:rsidR="00444F4D" w:rsidRPr="004232AA" w:rsidRDefault="00444F4D" w:rsidP="00DB6B83"/>
        </w:tc>
      </w:tr>
    </w:tbl>
    <w:p w:rsidR="00CF49B5" w:rsidRDefault="001F2907"/>
    <w:sectPr w:rsidR="00CF49B5" w:rsidSect="00BE40E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93B60"/>
    <w:multiLevelType w:val="hybridMultilevel"/>
    <w:tmpl w:val="462EE7C8"/>
    <w:lvl w:ilvl="0" w:tplc="74705F2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4F4D"/>
    <w:rsid w:val="001F2907"/>
    <w:rsid w:val="00444F4D"/>
    <w:rsid w:val="0084295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4D"/>
    <w:rPr>
      <w:rFonts w:ascii="Times New Roman" w:eastAsia="Times New Roman" w:hAnsi="Times New Roman" w:cs="Times New Roman"/>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443F3"/>
    <w:rPr>
      <w:rFonts w:ascii="Lucida Grande" w:hAnsi="Lucida Grande"/>
      <w:sz w:val="18"/>
      <w:szCs w:val="18"/>
    </w:rPr>
  </w:style>
  <w:style w:type="character" w:customStyle="1" w:styleId="BalloonTextChar">
    <w:name w:val="Balloon Text Char"/>
    <w:basedOn w:val="DefaultParagraphFont"/>
    <w:link w:val="BalloonText"/>
    <w:uiPriority w:val="99"/>
    <w:semiHidden/>
    <w:rsid w:val="008443F3"/>
    <w:rPr>
      <w:rFonts w:ascii="Lucida Grande" w:hAnsi="Lucida Grande"/>
      <w:sz w:val="18"/>
      <w:szCs w:val="18"/>
    </w:rPr>
  </w:style>
  <w:style w:type="table" w:styleId="TableGrid">
    <w:name w:val="Table Grid"/>
    <w:basedOn w:val="TableNormal"/>
    <w:rsid w:val="00444F4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4611</Characters>
  <Application>Microsoft Macintosh Word</Application>
  <DocSecurity>0</DocSecurity>
  <Lines>38</Lines>
  <Paragraphs>9</Paragraphs>
  <ScaleCrop>false</ScaleCrop>
  <Company>Saint Francis Xavier University</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Lunney Borden</dc:creator>
  <cp:keywords/>
  <cp:lastModifiedBy>Lisa Lunney Borden</cp:lastModifiedBy>
  <cp:revision>2</cp:revision>
  <dcterms:created xsi:type="dcterms:W3CDTF">2010-01-08T18:01:00Z</dcterms:created>
  <dcterms:modified xsi:type="dcterms:W3CDTF">2010-01-08T18:22:00Z</dcterms:modified>
</cp:coreProperties>
</file>